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00" w:type="dxa"/>
        <w:jc w:val="center"/>
        <w:tblLook w:val="04A0" w:firstRow="1" w:lastRow="0" w:firstColumn="1" w:lastColumn="0" w:noHBand="0" w:noVBand="1"/>
      </w:tblPr>
      <w:tblGrid>
        <w:gridCol w:w="1240"/>
        <w:gridCol w:w="1060"/>
        <w:gridCol w:w="3320"/>
        <w:gridCol w:w="1280"/>
      </w:tblGrid>
      <w:tr w:rsidR="00310009" w:rsidRPr="00736468" w:rsidTr="00310009">
        <w:trPr>
          <w:trHeight w:val="675"/>
          <w:jc w:val="center"/>
        </w:trPr>
        <w:tc>
          <w:tcPr>
            <w:tcW w:w="6900" w:type="dxa"/>
            <w:gridSpan w:val="4"/>
            <w:tcBorders>
              <w:top w:val="nil"/>
              <w:left w:val="nil"/>
              <w:bottom w:val="single" w:sz="4" w:space="0" w:color="auto"/>
              <w:right w:val="nil"/>
            </w:tcBorders>
            <w:shd w:val="clear" w:color="auto" w:fill="auto"/>
            <w:noWrap/>
            <w:vAlign w:val="center"/>
            <w:hideMark/>
          </w:tcPr>
          <w:p w:rsidR="00310009" w:rsidRPr="00310009" w:rsidRDefault="00310009" w:rsidP="00736468">
            <w:pPr>
              <w:widowControl/>
              <w:jc w:val="center"/>
              <w:rPr>
                <w:rFonts w:ascii="方正小标宋简体" w:eastAsia="方正小标宋简体" w:hAnsi="宋体" w:cs="宋体"/>
                <w:bCs/>
                <w:color w:val="000000"/>
                <w:kern w:val="0"/>
                <w:sz w:val="32"/>
                <w:szCs w:val="32"/>
              </w:rPr>
            </w:pPr>
            <w:r w:rsidRPr="00310009">
              <w:rPr>
                <w:rFonts w:ascii="方正小标宋简体" w:eastAsia="方正小标宋简体" w:hAnsi="宋体" w:cs="宋体" w:hint="eastAsia"/>
                <w:bCs/>
                <w:color w:val="000000"/>
                <w:kern w:val="0"/>
                <w:sz w:val="32"/>
                <w:szCs w:val="32"/>
              </w:rPr>
              <w:t>北京市高等学校教学名师奖评价指标（本科）</w:t>
            </w:r>
          </w:p>
        </w:tc>
      </w:tr>
      <w:tr w:rsidR="00310009" w:rsidRPr="00736468" w:rsidTr="00310009">
        <w:trPr>
          <w:trHeight w:val="54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评价指标</w:t>
            </w:r>
          </w:p>
        </w:tc>
        <w:tc>
          <w:tcPr>
            <w:tcW w:w="106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评价人</w:t>
            </w:r>
          </w:p>
        </w:tc>
        <w:tc>
          <w:tcPr>
            <w:tcW w:w="332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 价 内 容</w:t>
            </w:r>
          </w:p>
        </w:tc>
        <w:tc>
          <w:tcPr>
            <w:tcW w:w="128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分值</w:t>
            </w:r>
          </w:p>
        </w:tc>
      </w:tr>
      <w:tr w:rsidR="00310009" w:rsidRPr="00736468" w:rsidTr="00310009">
        <w:trPr>
          <w:trHeight w:val="6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综合评价</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专家</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1.师德师风</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bookmarkStart w:id="0" w:name="_GoBack"/>
            <w:bookmarkEnd w:id="0"/>
            <w:r w:rsidRPr="00736468">
              <w:rPr>
                <w:rFonts w:ascii="仿宋" w:eastAsia="仿宋" w:hAnsi="仿宋" w:cs="宋体" w:hint="eastAsia"/>
                <w:color w:val="000000"/>
                <w:kern w:val="0"/>
                <w:sz w:val="22"/>
              </w:rPr>
              <w:t>40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2.教学水平与教改成效</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3.教学团队建设和贡献</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4.科研水平与学术支撑</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教学观摩</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专家</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1.教学内容</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40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2.教学设计</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3.教学风格</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学生</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1.教学内容</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20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2.教学设计</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3.教学风格</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52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总分合计</w:t>
            </w:r>
          </w:p>
        </w:tc>
        <w:tc>
          <w:tcPr>
            <w:tcW w:w="106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100</w:t>
            </w:r>
          </w:p>
        </w:tc>
      </w:tr>
    </w:tbl>
    <w:p w:rsidR="00736468" w:rsidRDefault="00736468"/>
    <w:p w:rsidR="00736468" w:rsidRDefault="00736468">
      <w:pPr>
        <w:widowControl/>
        <w:jc w:val="left"/>
      </w:pPr>
      <w:r>
        <w:br w:type="page"/>
      </w:r>
    </w:p>
    <w:tbl>
      <w:tblPr>
        <w:tblW w:w="11019" w:type="dxa"/>
        <w:jc w:val="center"/>
        <w:tblLook w:val="0000" w:firstRow="0" w:lastRow="0" w:firstColumn="0" w:lastColumn="0" w:noHBand="0" w:noVBand="0"/>
      </w:tblPr>
      <w:tblGrid>
        <w:gridCol w:w="850"/>
        <w:gridCol w:w="1136"/>
        <w:gridCol w:w="7644"/>
        <w:gridCol w:w="658"/>
        <w:gridCol w:w="731"/>
      </w:tblGrid>
      <w:tr w:rsidR="00736468" w:rsidRPr="00736468" w:rsidTr="00310009">
        <w:trPr>
          <w:trHeight w:val="600"/>
          <w:jc w:val="center"/>
        </w:trPr>
        <w:tc>
          <w:tcPr>
            <w:tcW w:w="11019" w:type="dxa"/>
            <w:gridSpan w:val="5"/>
            <w:tcBorders>
              <w:top w:val="nil"/>
              <w:left w:val="nil"/>
              <w:bottom w:val="nil"/>
              <w:right w:val="nil"/>
            </w:tcBorders>
            <w:shd w:val="clear" w:color="auto" w:fill="auto"/>
            <w:noWrap/>
            <w:vAlign w:val="center"/>
          </w:tcPr>
          <w:p w:rsidR="00736468" w:rsidRPr="00310009" w:rsidRDefault="00736468" w:rsidP="00736468">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lastRenderedPageBreak/>
              <w:t>北京市高等学校教学名师奖综合评价指标（本科）-专家用</w:t>
            </w:r>
          </w:p>
        </w:tc>
      </w:tr>
      <w:tr w:rsidR="00736468" w:rsidRPr="00736468" w:rsidTr="00310009">
        <w:trPr>
          <w:trHeight w:val="212"/>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31000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1.政治立场坚定，把传授知识、培养能力同塑造学生正确的世界观、人生观、价值观结合起来；</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2.师德高尚、爱岗敬业、教书育人、关爱学生；</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2.教学水平与教改成效</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2.教学内容安排合理，条理性强，符合认知规律；</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3.传授知识有深度，理论联系实际，注重学生综合素质和能力培养；</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4.及时把学科发展成果和国内外教改成果引入教学，信息量大，达到国际同类课程水平。</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1.注重学思结合，注重因材施教；</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2.课程讲授能激发学生的学习兴趣，培育学生的主动探索精神和创造性思维；</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3.积极开展教学方法研究与应用，科学、合理、有效使用现代教育技术，效果好，积极</w:t>
            </w:r>
            <w:r w:rsidRPr="00736468">
              <w:rPr>
                <w:rFonts w:ascii="仿宋_GB2312" w:eastAsia="仿宋_GB2312" w:hAnsi="宋体" w:cs="宋体"/>
                <w:kern w:val="0"/>
                <w:sz w:val="22"/>
              </w:rPr>
              <w:t>参与在线开放课程</w:t>
            </w:r>
            <w:r w:rsidRPr="00736468">
              <w:rPr>
                <w:rFonts w:ascii="仿宋_GB2312" w:eastAsia="仿宋_GB2312" w:hAnsi="宋体" w:cs="宋体" w:hint="eastAsia"/>
                <w:kern w:val="0"/>
                <w:sz w:val="22"/>
              </w:rPr>
              <w:t>建设</w:t>
            </w:r>
            <w:r w:rsidRPr="00736468">
              <w:rPr>
                <w:rFonts w:ascii="仿宋_GB2312" w:eastAsia="仿宋_GB2312" w:hAnsi="宋体" w:cs="宋体"/>
                <w:kern w:val="0"/>
                <w:sz w:val="22"/>
              </w:rPr>
              <w:t>，</w:t>
            </w:r>
            <w:r w:rsidRPr="00736468">
              <w:rPr>
                <w:rFonts w:ascii="仿宋_GB2312" w:eastAsia="仿宋_GB2312" w:hAnsi="宋体" w:cs="宋体" w:hint="eastAsia"/>
                <w:kern w:val="0"/>
                <w:sz w:val="22"/>
              </w:rPr>
              <w:t>有自己研制的多媒体课件；</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4.注重知行统一；中文授课部分使用普通话。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1.教学效果好，主讲课程在全国同领域内有较大影响；</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2.形成独特而有效的教学风格，在国内起到示范作用；</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1.主持过重大教改项目，在教学内容、教学方法改革方面取得突出成绩，做出重要贡献，获得省部级以上奖励；</w:t>
            </w:r>
          </w:p>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2.发表多篇高质量的教改教研论文或出版具有一定影响的教改教研专著；</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 自编、主编高水平、有特色、版本新的教材，获省部级以上奖励。</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3．教学团队建设和贡献</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自觉指导和帮助中青年教师不断提高教学水平，重视教学队伍建设，作为课程主持人或主讲教师对形成结构合理的教学团队、形成本校该领域教学的历史地位做出重要贡献。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主持或承担多项高级别科研项目，科研成果多，获省部级以上奖励（特殊学科和基础课教师可酌情考虑降低此项要求）。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学术造诣高，科研成果有效支撑和服务教学。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736468" w:rsidRPr="00736468" w:rsidRDefault="00736468" w:rsidP="00736468">
      <w:pPr>
        <w:spacing w:line="0" w:lineRule="atLeast"/>
        <w:rPr>
          <w:rFonts w:ascii="宋体" w:eastAsia="宋体" w:hAnsi="宋体" w:cs="宋体"/>
          <w:bCs/>
          <w:kern w:val="36"/>
          <w:szCs w:val="21"/>
        </w:rPr>
      </w:pPr>
      <w:r w:rsidRPr="00736468">
        <w:rPr>
          <w:rFonts w:ascii="宋体" w:eastAsia="宋体" w:hAnsi="宋体" w:cs="宋体" w:hint="eastAsia"/>
          <w:bCs/>
          <w:kern w:val="36"/>
          <w:szCs w:val="21"/>
        </w:rPr>
        <w:t>注：特殊的课程可由评审小组协商调整。不在此表分项打分，直接在打分表中打总得分即可。</w:t>
      </w:r>
    </w:p>
    <w:p w:rsidR="00736468" w:rsidRDefault="00736468">
      <w:pPr>
        <w:widowControl/>
        <w:jc w:val="left"/>
      </w:pPr>
      <w:r>
        <w:br w:type="page"/>
      </w:r>
    </w:p>
    <w:tbl>
      <w:tblPr>
        <w:tblW w:w="11019" w:type="dxa"/>
        <w:jc w:val="center"/>
        <w:tblLook w:val="0000" w:firstRow="0" w:lastRow="0" w:firstColumn="0" w:lastColumn="0" w:noHBand="0" w:noVBand="0"/>
      </w:tblPr>
      <w:tblGrid>
        <w:gridCol w:w="850"/>
        <w:gridCol w:w="1136"/>
        <w:gridCol w:w="7644"/>
        <w:gridCol w:w="658"/>
        <w:gridCol w:w="731"/>
      </w:tblGrid>
      <w:tr w:rsidR="00736468" w:rsidRPr="00736468" w:rsidTr="00134E69">
        <w:trPr>
          <w:trHeight w:val="600"/>
          <w:jc w:val="center"/>
        </w:trPr>
        <w:tc>
          <w:tcPr>
            <w:tcW w:w="11019" w:type="dxa"/>
            <w:gridSpan w:val="5"/>
            <w:tcBorders>
              <w:top w:val="nil"/>
              <w:left w:val="nil"/>
              <w:bottom w:val="nil"/>
              <w:right w:val="nil"/>
            </w:tcBorders>
            <w:shd w:val="clear" w:color="auto" w:fill="auto"/>
            <w:noWrap/>
            <w:vAlign w:val="center"/>
          </w:tcPr>
          <w:p w:rsidR="00736468" w:rsidRPr="00736468" w:rsidRDefault="00736468" w:rsidP="00736468">
            <w:pPr>
              <w:widowControl/>
              <w:jc w:val="center"/>
              <w:rPr>
                <w:rFonts w:ascii="宋体" w:eastAsia="宋体" w:hAnsi="宋体" w:cs="宋体"/>
                <w:b/>
                <w:bCs/>
                <w:kern w:val="0"/>
                <w:sz w:val="28"/>
                <w:szCs w:val="28"/>
              </w:rPr>
            </w:pPr>
            <w:r w:rsidRPr="00310009">
              <w:rPr>
                <w:rFonts w:ascii="方正小标宋简体" w:eastAsia="方正小标宋简体" w:hAnsi="宋体" w:cs="宋体" w:hint="eastAsia"/>
                <w:bCs/>
                <w:kern w:val="0"/>
                <w:sz w:val="32"/>
                <w:szCs w:val="32"/>
              </w:rPr>
              <w:lastRenderedPageBreak/>
              <w:t>北京市高等学校青年教学名师奖综合评价指标（本科）-专家用</w:t>
            </w:r>
          </w:p>
        </w:tc>
      </w:tr>
      <w:tr w:rsidR="00736468" w:rsidRPr="00736468" w:rsidTr="00134E69">
        <w:trPr>
          <w:trHeight w:val="465"/>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134E6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afterLines="50" w:after="156" w:line="240" w:lineRule="exact"/>
              <w:rPr>
                <w:rFonts w:ascii="仿宋_GB2312" w:eastAsia="仿宋_GB2312" w:hAnsi="宋体" w:cs="宋体"/>
                <w:kern w:val="0"/>
                <w:sz w:val="22"/>
              </w:rPr>
            </w:pPr>
            <w:r w:rsidRPr="00736468">
              <w:rPr>
                <w:rFonts w:ascii="仿宋_GB2312" w:eastAsia="仿宋_GB2312" w:hAnsi="宋体" w:cs="宋体"/>
                <w:kern w:val="0"/>
                <w:sz w:val="22"/>
              </w:rPr>
              <w:t>1.</w:t>
            </w:r>
            <w:r w:rsidRPr="00736468">
              <w:rPr>
                <w:rFonts w:ascii="仿宋_GB2312" w:eastAsia="仿宋_GB2312" w:hAnsi="宋体" w:cs="宋体" w:hint="eastAsia"/>
                <w:kern w:val="0"/>
                <w:sz w:val="22"/>
              </w:rPr>
              <w:t>政治立场坚定，把传授知识、培养能力同塑造学生正确的世界观、人生观、价值观结合起来；</w:t>
            </w:r>
          </w:p>
          <w:p w:rsidR="00736468" w:rsidRPr="00736468" w:rsidRDefault="00736468" w:rsidP="00736468">
            <w:pPr>
              <w:spacing w:beforeLines="50" w:before="156" w:afterLines="50" w:after="156" w:line="240" w:lineRule="exact"/>
              <w:rPr>
                <w:rFonts w:ascii="仿宋_GB2312" w:eastAsia="仿宋_GB2312" w:hAnsi="宋体" w:cs="宋体"/>
                <w:kern w:val="0"/>
                <w:sz w:val="22"/>
              </w:rPr>
            </w:pPr>
            <w:r w:rsidRPr="00736468">
              <w:rPr>
                <w:rFonts w:ascii="仿宋_GB2312" w:eastAsia="仿宋_GB2312" w:hAnsi="宋体" w:cs="宋体" w:hint="eastAsia"/>
                <w:kern w:val="0"/>
                <w:sz w:val="22"/>
              </w:rPr>
              <w:t>2.</w:t>
            </w:r>
            <w:r w:rsidRPr="00736468">
              <w:rPr>
                <w:rFonts w:ascii="仿宋_GB2312" w:eastAsia="仿宋_GB2312" w:hAnsi="宋体" w:cs="宋体"/>
                <w:kern w:val="0"/>
                <w:sz w:val="22"/>
              </w:rPr>
              <w:t>师德高尚、爱岗敬业、教书育人、关爱学生</w:t>
            </w:r>
            <w:r w:rsidRPr="00736468">
              <w:rPr>
                <w:rFonts w:ascii="仿宋_GB2312" w:eastAsia="仿宋_GB2312" w:hAnsi="宋体" w:cs="宋体" w:hint="eastAsia"/>
                <w:kern w:val="0"/>
                <w:sz w:val="22"/>
              </w:rPr>
              <w:t>；</w:t>
            </w:r>
          </w:p>
          <w:p w:rsidR="00736468" w:rsidRPr="00736468" w:rsidRDefault="00736468" w:rsidP="00736468">
            <w:pPr>
              <w:spacing w:beforeLines="50" w:before="156" w:afterLines="50" w:after="156" w:line="240" w:lineRule="exact"/>
              <w:rPr>
                <w:rFonts w:ascii="仿宋_GB2312" w:eastAsia="仿宋_GB2312" w:hAnsi="宋体" w:cs="宋体"/>
                <w:kern w:val="0"/>
                <w:sz w:val="22"/>
                <w:szCs w:val="21"/>
              </w:rPr>
            </w:pPr>
            <w:r w:rsidRPr="00736468">
              <w:rPr>
                <w:rFonts w:ascii="仿宋_GB2312" w:eastAsia="仿宋_GB2312" w:hAnsi="宋体" w:cs="宋体"/>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水平与</w:t>
            </w:r>
            <w:r w:rsidRPr="00736468">
              <w:rPr>
                <w:rFonts w:ascii="仿宋_GB2312" w:eastAsia="仿宋_GB2312" w:hAnsi="宋体" w:cs="宋体"/>
                <w:kern w:val="0"/>
                <w:sz w:val="22"/>
              </w:rPr>
              <w:t>教改成效</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与</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平</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教学内容安排合理，条理性强，符合认知规律；</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3.</w:t>
            </w:r>
            <w:r w:rsidRPr="00736468">
              <w:rPr>
                <w:rFonts w:ascii="仿宋_GB2312" w:eastAsia="仿宋_GB2312" w:hAnsi="宋体" w:cs="宋体" w:hint="eastAsia"/>
                <w:kern w:val="0"/>
                <w:sz w:val="22"/>
              </w:rPr>
              <w:t>理论联系实际，注重学生综合素质和能力培养；</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kern w:val="0"/>
                <w:sz w:val="22"/>
              </w:rPr>
              <w:t>4.</w:t>
            </w:r>
            <w:r w:rsidRPr="00736468">
              <w:rPr>
                <w:rFonts w:ascii="仿宋_GB2312" w:eastAsia="仿宋_GB2312" w:hAnsi="宋体" w:cs="宋体" w:hint="eastAsia"/>
                <w:kern w:val="0"/>
                <w:sz w:val="22"/>
              </w:rPr>
              <w:t>能及时把学科</w:t>
            </w:r>
            <w:r w:rsidRPr="00736468">
              <w:rPr>
                <w:rFonts w:ascii="仿宋_GB2312" w:eastAsia="仿宋_GB2312" w:hAnsi="宋体" w:cs="宋体"/>
                <w:kern w:val="0"/>
                <w:sz w:val="22"/>
              </w:rPr>
              <w:t>发展成果和</w:t>
            </w:r>
            <w:r w:rsidRPr="00736468">
              <w:rPr>
                <w:rFonts w:ascii="仿宋_GB2312" w:eastAsia="仿宋_GB2312" w:hAnsi="宋体" w:cs="宋体" w:hint="eastAsia"/>
                <w:kern w:val="0"/>
                <w:sz w:val="22"/>
              </w:rPr>
              <w:t xml:space="preserve">国内外教改成果引入教学，信息量大，达到国际同类课程水平。 </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1.注重学思结合，注重因材施教；课程讲授能激发学生的学习兴趣，培育学生的主动探索精神和创造性思维；</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积极开展教学方法研究与应用，科学、合理、有效使用现代教育技术，效果好，积极参与在线开放课程建设，有自己研制的多媒体课件；</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1.主持过教改项目，在教学内容、教学方法改革方面取得明显效果，做出重要贡献；</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2.发表过高质量的教改教研论文或出版具有一定影响的教改教研专著；</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3.自编或参与编写过高水平、有特色、版本新的教材。</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1.教学效果好，主讲课程在全市同领域内有较大影响；</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2.形成独特而有效的教学风格，在北京市起到示范作用；</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3．教学协作能力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积极参与教学团队建设，作为课程主持人或主讲教师对建设结构合理的教学梯队、构建具有良好效果的人才培养模式、提升本领域人才培养效果做出过重要贡献。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w:t>
            </w:r>
            <w:r w:rsidRPr="00736468">
              <w:rPr>
                <w:rFonts w:ascii="仿宋_GB2312" w:eastAsia="仿宋_GB2312" w:hAnsi="宋体" w:cs="宋体"/>
                <w:kern w:val="0"/>
                <w:sz w:val="22"/>
              </w:rPr>
              <w:t>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w:t>
            </w:r>
          </w:p>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主持或参与过高级别科研项目，取得过相应科研成果，获省部级以上奖励（特殊学科和基础课教师可酌情考虑降低此项要求）。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支撑</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学术造诣较高，科研成果能有效支撑和服务教学。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D06A98" w:rsidRDefault="00736468">
      <w:r w:rsidRPr="008B27E4">
        <w:rPr>
          <w:rFonts w:hint="eastAsia"/>
        </w:rPr>
        <w:t>注：特殊的课程可由评审小组协商调整。不在此表分项打分，直接在打分表中打总得分即可。</w:t>
      </w:r>
    </w:p>
    <w:p w:rsidR="00736468" w:rsidRDefault="00736468">
      <w:pPr>
        <w:widowControl/>
        <w:jc w:val="left"/>
      </w:pPr>
      <w:r>
        <w:br w:type="page"/>
      </w:r>
    </w:p>
    <w:p w:rsidR="007055BE" w:rsidRPr="00310009" w:rsidRDefault="007055BE" w:rsidP="00310009">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lastRenderedPageBreak/>
        <w:t>北京市高等学校教学名师奖现场授课评价指标（专家用）</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6291"/>
        <w:gridCol w:w="682"/>
        <w:gridCol w:w="735"/>
      </w:tblGrid>
      <w:tr w:rsidR="007055BE" w:rsidTr="00134E69">
        <w:trPr>
          <w:cantSplit/>
        </w:trPr>
        <w:tc>
          <w:tcPr>
            <w:tcW w:w="905"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b/>
                <w:sz w:val="28"/>
                <w:szCs w:val="28"/>
              </w:rPr>
              <w:t xml:space="preserve">           </w:t>
            </w:r>
            <w:r>
              <w:rPr>
                <w:rFonts w:ascii="楷体_GB2312" w:eastAsia="楷体_GB2312" w:hAnsi="宋体" w:hint="eastAsia"/>
                <w:szCs w:val="21"/>
              </w:rPr>
              <w:t>项目</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 w:val="24"/>
              </w:rPr>
            </w:pPr>
          </w:p>
          <w:p w:rsidR="007055BE" w:rsidRDefault="007055BE" w:rsidP="00134E69">
            <w:pPr>
              <w:spacing w:line="480" w:lineRule="auto"/>
              <w:jc w:val="center"/>
              <w:rPr>
                <w:rFonts w:ascii="楷体_GB2312" w:eastAsia="楷体_GB2312" w:hAnsi="宋体"/>
                <w:sz w:val="24"/>
              </w:rPr>
            </w:pPr>
            <w:r>
              <w:rPr>
                <w:rFonts w:ascii="楷体_GB2312" w:eastAsia="楷体_GB2312" w:hAnsi="宋体" w:hint="eastAsia"/>
                <w:sz w:val="24"/>
              </w:rPr>
              <w:t>评 测 要 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分</w:t>
            </w:r>
          </w:p>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数</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备</w:t>
            </w:r>
          </w:p>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注</w:t>
            </w:r>
          </w:p>
        </w:tc>
      </w:tr>
      <w:tr w:rsidR="007055BE" w:rsidTr="00134E69">
        <w:trPr>
          <w:cantSplit/>
        </w:trPr>
        <w:tc>
          <w:tcPr>
            <w:tcW w:w="905" w:type="dxa"/>
            <w:vMerge w:val="restart"/>
            <w:tcBorders>
              <w:top w:val="single" w:sz="6" w:space="0" w:color="000000"/>
              <w:left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教</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学</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演</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示</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80分</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7055BE">
            <w:pPr>
              <w:numPr>
                <w:ilvl w:val="0"/>
                <w:numId w:val="1"/>
              </w:numPr>
              <w:rPr>
                <w:rFonts w:ascii="楷体_GB2312" w:eastAsia="楷体_GB2312" w:hAnsi="宋体"/>
                <w:b/>
                <w:bCs/>
                <w:sz w:val="24"/>
                <w:szCs w:val="21"/>
              </w:rPr>
            </w:pPr>
            <w:r>
              <w:rPr>
                <w:rFonts w:ascii="楷体_GB2312" w:eastAsia="楷体_GB2312" w:hAnsi="宋体" w:hint="eastAsia"/>
                <w:b/>
                <w:bCs/>
                <w:sz w:val="24"/>
                <w:szCs w:val="21"/>
              </w:rPr>
              <w:t>教学内容（27分）</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教学内容科学性强，理论联系实际</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教学内容学术性强，渗透专业思想，教学内容能承前启后，循序渐进，重点突出，逻辑性强</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教学内容启发性强，符合学生认知规律，注重培养能力</w:t>
            </w:r>
          </w:p>
          <w:p w:rsidR="007055BE" w:rsidRDefault="007055BE" w:rsidP="007055BE">
            <w:pPr>
              <w:numPr>
                <w:ilvl w:val="0"/>
                <w:numId w:val="2"/>
              </w:numPr>
              <w:rPr>
                <w:rFonts w:ascii="楷体_GB2312" w:eastAsia="楷体_GB2312" w:hAnsi="宋体"/>
                <w:szCs w:val="21"/>
              </w:rPr>
            </w:pPr>
            <w:r w:rsidRPr="007A2F86">
              <w:rPr>
                <w:rFonts w:ascii="楷体_GB2312" w:eastAsia="楷体_GB2312" w:hAnsi="宋体" w:hint="eastAsia"/>
                <w:sz w:val="24"/>
              </w:rPr>
              <w:t>教学内容思想性强，引导学生树立专业意识、正确的世界观和价值观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ind w:firstLineChars="50" w:firstLine="105"/>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6</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 w:val="24"/>
                <w:szCs w:val="21"/>
              </w:rPr>
            </w:pPr>
            <w:r>
              <w:rPr>
                <w:rFonts w:ascii="楷体_GB2312" w:eastAsia="楷体_GB2312" w:hAnsi="宋体" w:hint="eastAsia"/>
                <w:b/>
                <w:bCs/>
                <w:sz w:val="24"/>
                <w:szCs w:val="21"/>
              </w:rPr>
              <w:t>2、教学设计（28分）</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教学活动多样灵活，教与学活动有机结合，突出学生的主体性</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采用多种教学策略，能有效地调动学生的学习积极性</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熟练、恰当地运用多媒体教学手段，有效提高教学质量</w:t>
            </w:r>
          </w:p>
          <w:p w:rsidR="007055BE" w:rsidRDefault="007055BE" w:rsidP="007055BE">
            <w:pPr>
              <w:numPr>
                <w:ilvl w:val="0"/>
                <w:numId w:val="3"/>
              </w:numPr>
              <w:rPr>
                <w:rFonts w:ascii="楷体_GB2312" w:eastAsia="楷体_GB2312" w:hAnsi="宋体"/>
                <w:szCs w:val="21"/>
              </w:rPr>
            </w:pPr>
            <w:r w:rsidRPr="007A2F86">
              <w:rPr>
                <w:rFonts w:ascii="楷体_GB2312" w:eastAsia="楷体_GB2312" w:hAnsi="宋体" w:hint="eastAsia"/>
                <w:sz w:val="24"/>
              </w:rPr>
              <w:t>课堂提问能启发学生思考，与学生有效交流与沟通</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4</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Cs w:val="21"/>
              </w:rPr>
            </w:pPr>
            <w:r>
              <w:rPr>
                <w:rFonts w:ascii="楷体_GB2312" w:eastAsia="楷体_GB2312" w:hAnsi="宋体" w:hint="eastAsia"/>
                <w:b/>
                <w:bCs/>
                <w:szCs w:val="21"/>
              </w:rPr>
              <w:t>3</w:t>
            </w:r>
            <w:r>
              <w:rPr>
                <w:rFonts w:ascii="楷体_GB2312" w:eastAsia="楷体_GB2312" w:hAnsi="宋体" w:hint="eastAsia"/>
                <w:b/>
                <w:bCs/>
                <w:sz w:val="24"/>
                <w:szCs w:val="21"/>
              </w:rPr>
              <w:t>、教学语言与教态（15分）</w:t>
            </w:r>
          </w:p>
          <w:p w:rsidR="007055BE" w:rsidRPr="007A2F86" w:rsidRDefault="007055BE" w:rsidP="007055BE">
            <w:pPr>
              <w:numPr>
                <w:ilvl w:val="0"/>
                <w:numId w:val="4"/>
              </w:numPr>
              <w:rPr>
                <w:rFonts w:ascii="楷体_GB2312" w:eastAsia="楷体_GB2312" w:hAnsi="宋体"/>
                <w:sz w:val="24"/>
              </w:rPr>
            </w:pPr>
            <w:r w:rsidRPr="007A2F86">
              <w:rPr>
                <w:rFonts w:ascii="楷体_GB2312" w:eastAsia="楷体_GB2312" w:hAnsi="宋体" w:hint="eastAsia"/>
                <w:sz w:val="24"/>
              </w:rPr>
              <w:t>着装整洁得体，教态自然大方，亲和力强</w:t>
            </w:r>
          </w:p>
          <w:p w:rsidR="007055BE" w:rsidRPr="007A2F86" w:rsidRDefault="007055BE" w:rsidP="007055BE">
            <w:pPr>
              <w:numPr>
                <w:ilvl w:val="0"/>
                <w:numId w:val="4"/>
              </w:numPr>
              <w:rPr>
                <w:rFonts w:ascii="楷体_GB2312" w:eastAsia="楷体_GB2312" w:hAnsi="宋体"/>
                <w:sz w:val="24"/>
              </w:rPr>
            </w:pPr>
            <w:r w:rsidRPr="007A2F86">
              <w:rPr>
                <w:rFonts w:ascii="楷体_GB2312" w:eastAsia="楷体_GB2312" w:hAnsi="宋体" w:hint="eastAsia"/>
                <w:sz w:val="24"/>
              </w:rPr>
              <w:t>普通话讲课，语言清晰生动，表达能力强</w:t>
            </w:r>
          </w:p>
          <w:p w:rsidR="007055BE" w:rsidRDefault="007055BE" w:rsidP="007055BE">
            <w:pPr>
              <w:numPr>
                <w:ilvl w:val="0"/>
                <w:numId w:val="4"/>
              </w:numPr>
              <w:rPr>
                <w:rFonts w:ascii="楷体_GB2312" w:eastAsia="楷体_GB2312" w:hAnsi="宋体"/>
                <w:szCs w:val="21"/>
              </w:rPr>
            </w:pPr>
            <w:r w:rsidRPr="007A2F86">
              <w:rPr>
                <w:rFonts w:ascii="楷体_GB2312" w:eastAsia="楷体_GB2312" w:hAnsi="宋体" w:hint="eastAsia"/>
                <w:sz w:val="24"/>
              </w:rPr>
              <w:t>态度积极、向上，具有较强的感染力</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bottom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 w:val="24"/>
                <w:szCs w:val="21"/>
              </w:rPr>
            </w:pPr>
            <w:r>
              <w:rPr>
                <w:rFonts w:ascii="楷体_GB2312" w:eastAsia="楷体_GB2312" w:hAnsi="宋体" w:hint="eastAsia"/>
                <w:b/>
                <w:bCs/>
                <w:sz w:val="24"/>
                <w:szCs w:val="21"/>
              </w:rPr>
              <w:t>4、板书（传统板书或电子板书）（10分）</w:t>
            </w:r>
          </w:p>
          <w:p w:rsidR="007055BE" w:rsidRPr="007A2F86" w:rsidRDefault="007055BE" w:rsidP="007055BE">
            <w:pPr>
              <w:numPr>
                <w:ilvl w:val="0"/>
                <w:numId w:val="5"/>
              </w:numPr>
              <w:rPr>
                <w:rFonts w:ascii="楷体_GB2312" w:eastAsia="楷体_GB2312" w:hAnsi="宋体"/>
                <w:sz w:val="24"/>
              </w:rPr>
            </w:pPr>
            <w:r w:rsidRPr="007A2F86">
              <w:rPr>
                <w:rFonts w:ascii="楷体_GB2312" w:eastAsia="楷体_GB2312" w:hAnsi="宋体" w:hint="eastAsia"/>
                <w:sz w:val="24"/>
              </w:rPr>
              <w:t>板书设计合理</w:t>
            </w:r>
          </w:p>
          <w:p w:rsidR="007055BE" w:rsidRDefault="007055BE" w:rsidP="007055BE">
            <w:pPr>
              <w:numPr>
                <w:ilvl w:val="0"/>
                <w:numId w:val="5"/>
              </w:numPr>
              <w:rPr>
                <w:rFonts w:ascii="楷体_GB2312" w:eastAsia="楷体_GB2312" w:hAnsi="宋体"/>
                <w:color w:val="000000"/>
                <w:szCs w:val="21"/>
              </w:rPr>
            </w:pPr>
            <w:r w:rsidRPr="007A2F86">
              <w:rPr>
                <w:rFonts w:ascii="楷体_GB2312" w:eastAsia="楷体_GB2312" w:hAnsi="宋体" w:hint="eastAsia"/>
                <w:color w:val="000000"/>
                <w:sz w:val="24"/>
              </w:rPr>
              <w:t>文字规范、图表清晰，美观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Default="007055BE" w:rsidP="00134E69">
            <w:pP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总体</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印象</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20分</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ind w:left="-5"/>
              <w:rPr>
                <w:rFonts w:ascii="楷体_GB2312" w:eastAsia="楷体_GB2312" w:hAnsi="宋体"/>
                <w:szCs w:val="21"/>
              </w:rPr>
            </w:pPr>
          </w:p>
          <w:p w:rsidR="007055BE" w:rsidRPr="007A2F86" w:rsidRDefault="007055BE" w:rsidP="007055BE">
            <w:pPr>
              <w:numPr>
                <w:ilvl w:val="0"/>
                <w:numId w:val="6"/>
              </w:numPr>
              <w:tabs>
                <w:tab w:val="num" w:pos="355"/>
              </w:tabs>
              <w:ind w:hanging="2630"/>
              <w:rPr>
                <w:rFonts w:ascii="楷体_GB2312" w:eastAsia="楷体_GB2312" w:hAnsi="宋体"/>
                <w:sz w:val="24"/>
              </w:rPr>
            </w:pPr>
            <w:r w:rsidRPr="007A2F86">
              <w:rPr>
                <w:rFonts w:ascii="楷体_GB2312" w:eastAsia="楷体_GB2312" w:hAnsi="宋体" w:hint="eastAsia"/>
                <w:sz w:val="24"/>
              </w:rPr>
              <w:t>教学理念先进，注重学生的全面发展</w:t>
            </w:r>
          </w:p>
          <w:p w:rsidR="007055BE" w:rsidRPr="007A2F86" w:rsidRDefault="007055BE" w:rsidP="007055BE">
            <w:pPr>
              <w:numPr>
                <w:ilvl w:val="0"/>
                <w:numId w:val="6"/>
              </w:numPr>
              <w:tabs>
                <w:tab w:val="num" w:pos="355"/>
              </w:tabs>
              <w:ind w:hanging="2630"/>
              <w:rPr>
                <w:rFonts w:ascii="楷体_GB2312" w:eastAsia="楷体_GB2312" w:hAnsi="宋体"/>
                <w:sz w:val="24"/>
              </w:rPr>
            </w:pPr>
            <w:r w:rsidRPr="007A2F86">
              <w:rPr>
                <w:rFonts w:ascii="楷体_GB2312" w:eastAsia="楷体_GB2312" w:hAnsi="宋体" w:hint="eastAsia"/>
                <w:sz w:val="24"/>
              </w:rPr>
              <w:t>教学风格突出，感染力强</w:t>
            </w:r>
          </w:p>
          <w:p w:rsidR="007055BE" w:rsidRDefault="007055BE" w:rsidP="007055BE">
            <w:pPr>
              <w:numPr>
                <w:ilvl w:val="0"/>
                <w:numId w:val="6"/>
              </w:numPr>
              <w:tabs>
                <w:tab w:val="num" w:pos="355"/>
              </w:tabs>
              <w:ind w:hanging="2630"/>
              <w:jc w:val="left"/>
              <w:rPr>
                <w:rFonts w:ascii="楷体_GB2312" w:eastAsia="楷体_GB2312" w:hAnsi="宋体"/>
                <w:sz w:val="24"/>
              </w:rPr>
            </w:pPr>
            <w:r w:rsidRPr="007A2F86">
              <w:rPr>
                <w:rFonts w:ascii="楷体_GB2312" w:eastAsia="楷体_GB2312" w:hAnsi="宋体" w:hint="eastAsia"/>
                <w:sz w:val="24"/>
              </w:rPr>
              <w:t>尊重学生，注重教书育人，学生评估好</w:t>
            </w:r>
          </w:p>
          <w:p w:rsidR="007055BE" w:rsidRDefault="007055BE" w:rsidP="007055BE">
            <w:pPr>
              <w:numPr>
                <w:ilvl w:val="0"/>
                <w:numId w:val="6"/>
              </w:numPr>
              <w:tabs>
                <w:tab w:val="num" w:pos="355"/>
              </w:tabs>
              <w:ind w:hanging="2630"/>
              <w:jc w:val="left"/>
              <w:rPr>
                <w:rFonts w:ascii="楷体_GB2312" w:eastAsia="楷体_GB2312" w:hAnsi="宋体"/>
                <w:szCs w:val="21"/>
              </w:rPr>
            </w:pPr>
            <w:r>
              <w:rPr>
                <w:rFonts w:ascii="楷体_GB2312" w:eastAsia="楷体_GB2312" w:hAnsi="宋体" w:hint="eastAsia"/>
                <w:sz w:val="24"/>
              </w:rPr>
              <w:t>课堂设计规范，效果好</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6</w:t>
            </w: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5</w:t>
            </w: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5</w:t>
            </w:r>
          </w:p>
          <w:p w:rsidR="007055BE" w:rsidRDefault="007055BE" w:rsidP="00134E69">
            <w:pPr>
              <w:jc w:val="center"/>
              <w:rPr>
                <w:rFonts w:ascii="楷体_GB2312" w:eastAsia="楷体_GB2312" w:hAnsi="宋体"/>
                <w:szCs w:val="21"/>
              </w:rPr>
            </w:pPr>
            <w:r w:rsidRPr="00D50D2C">
              <w:rPr>
                <w:rFonts w:ascii="楷体_GB2312" w:eastAsia="楷体_GB2312" w:hAnsi="宋体" w:hint="eastAsia"/>
                <w:sz w:val="24"/>
              </w:rPr>
              <w:t>4</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Height w:val="459"/>
        </w:trPr>
        <w:tc>
          <w:tcPr>
            <w:tcW w:w="7196" w:type="dxa"/>
            <w:gridSpan w:val="2"/>
            <w:tcBorders>
              <w:top w:val="single" w:sz="6" w:space="0" w:color="000000"/>
              <w:left w:val="single" w:sz="6" w:space="0" w:color="000000"/>
              <w:bottom w:val="single" w:sz="6" w:space="0" w:color="000000"/>
              <w:right w:val="single" w:sz="6" w:space="0" w:color="000000"/>
            </w:tcBorders>
            <w:vAlign w:val="center"/>
          </w:tcPr>
          <w:p w:rsidR="007055BE" w:rsidRPr="008371A6" w:rsidRDefault="007055BE" w:rsidP="00134E69">
            <w:pPr>
              <w:ind w:left="-5"/>
              <w:jc w:val="center"/>
              <w:rPr>
                <w:rFonts w:ascii="楷体_GB2312" w:eastAsia="楷体_GB2312" w:hAnsi="宋体"/>
                <w:b/>
                <w:szCs w:val="21"/>
              </w:rPr>
            </w:pPr>
            <w:r w:rsidRPr="008371A6">
              <w:rPr>
                <w:rFonts w:ascii="楷体_GB2312" w:eastAsia="楷体_GB2312" w:hAnsi="宋体" w:hint="eastAsia"/>
                <w:b/>
                <w:szCs w:val="21"/>
              </w:rPr>
              <w:t>总分合计</w:t>
            </w:r>
          </w:p>
        </w:tc>
        <w:tc>
          <w:tcPr>
            <w:tcW w:w="682" w:type="dxa"/>
            <w:tcBorders>
              <w:top w:val="single" w:sz="6" w:space="0" w:color="000000"/>
              <w:left w:val="single" w:sz="6" w:space="0" w:color="000000"/>
              <w:bottom w:val="single" w:sz="6" w:space="0" w:color="000000"/>
              <w:right w:val="single" w:sz="6" w:space="0" w:color="000000"/>
            </w:tcBorders>
            <w:vAlign w:val="center"/>
          </w:tcPr>
          <w:p w:rsidR="007055BE" w:rsidRPr="008371A6" w:rsidRDefault="007055BE" w:rsidP="00134E69">
            <w:pPr>
              <w:jc w:val="center"/>
              <w:rPr>
                <w:rFonts w:ascii="楷体_GB2312" w:eastAsia="楷体_GB2312" w:hAnsi="宋体"/>
                <w:b/>
                <w:szCs w:val="21"/>
              </w:rPr>
            </w:pPr>
            <w:r w:rsidRPr="008371A6">
              <w:rPr>
                <w:rFonts w:ascii="楷体_GB2312" w:eastAsia="楷体_GB2312" w:hAnsi="宋体" w:hint="eastAsia"/>
                <w:b/>
                <w:szCs w:val="21"/>
              </w:rPr>
              <w:t>100</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bl>
    <w:p w:rsidR="007055BE" w:rsidRDefault="007055BE" w:rsidP="007055BE">
      <w:r>
        <w:rPr>
          <w:rFonts w:hint="eastAsia"/>
        </w:rPr>
        <w:t>注：特殊的课程可由评审小组协商调整。不在此表分项打分，直接在打分表中打总得分即可。</w:t>
      </w:r>
    </w:p>
    <w:p w:rsidR="007055BE" w:rsidRDefault="007055BE">
      <w:pPr>
        <w:widowControl/>
        <w:jc w:val="left"/>
      </w:pPr>
      <w:r>
        <w:br w:type="page"/>
      </w:r>
    </w:p>
    <w:p w:rsidR="007055BE" w:rsidRPr="00310009" w:rsidRDefault="007055BE" w:rsidP="00310009">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lastRenderedPageBreak/>
        <w:t>北京市高等学校教学名师奖现场授课评测指标（学生用）</w:t>
      </w:r>
    </w:p>
    <w:p w:rsidR="007055BE" w:rsidRPr="0014184F" w:rsidRDefault="007055BE" w:rsidP="007055BE">
      <w:pPr>
        <w:spacing w:line="500" w:lineRule="exact"/>
        <w:jc w:val="center"/>
        <w:rPr>
          <w:rFonts w:ascii="宋体" w:hAnsi="宋体"/>
          <w:b/>
          <w:sz w:val="32"/>
          <w:szCs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26"/>
        <w:gridCol w:w="7164"/>
      </w:tblGrid>
      <w:tr w:rsidR="007055BE" w:rsidTr="00134E69">
        <w:trPr>
          <w:cantSplit/>
          <w:trHeight w:val="1184"/>
        </w:trPr>
        <w:tc>
          <w:tcPr>
            <w:tcW w:w="1158"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spacing w:line="360" w:lineRule="auto"/>
              <w:jc w:val="center"/>
              <w:rPr>
                <w:rFonts w:ascii="楷体_GB2312" w:eastAsia="楷体_GB2312" w:hAnsi="宋体"/>
                <w:sz w:val="32"/>
                <w:szCs w:val="32"/>
              </w:rPr>
            </w:pPr>
          </w:p>
          <w:p w:rsidR="007055BE" w:rsidRPr="00D81547" w:rsidRDefault="007055BE" w:rsidP="00134E69">
            <w:pPr>
              <w:spacing w:line="360" w:lineRule="auto"/>
              <w:jc w:val="center"/>
              <w:rPr>
                <w:rFonts w:ascii="楷体_GB2312" w:eastAsia="楷体_GB2312" w:hAnsi="宋体"/>
                <w:sz w:val="32"/>
                <w:szCs w:val="32"/>
              </w:rPr>
            </w:pPr>
            <w:r w:rsidRPr="00D81547">
              <w:rPr>
                <w:rFonts w:ascii="楷体_GB2312" w:eastAsia="楷体_GB2312" w:hAnsi="宋体" w:hint="eastAsia"/>
                <w:sz w:val="32"/>
                <w:szCs w:val="32"/>
              </w:rPr>
              <w:t>项目</w:t>
            </w:r>
          </w:p>
        </w:tc>
        <w:tc>
          <w:tcPr>
            <w:tcW w:w="7370"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jc w:val="center"/>
              <w:rPr>
                <w:rFonts w:ascii="楷体_GB2312" w:eastAsia="楷体_GB2312" w:hAnsi="宋体"/>
                <w:sz w:val="24"/>
              </w:rPr>
            </w:pPr>
          </w:p>
          <w:p w:rsidR="007055BE" w:rsidRPr="00D81547" w:rsidRDefault="007055BE" w:rsidP="00134E69">
            <w:pPr>
              <w:spacing w:line="360" w:lineRule="auto"/>
              <w:jc w:val="center"/>
              <w:rPr>
                <w:rFonts w:ascii="楷体_GB2312" w:eastAsia="楷体_GB2312" w:hAnsi="宋体"/>
                <w:sz w:val="32"/>
                <w:szCs w:val="32"/>
              </w:rPr>
            </w:pPr>
            <w:r w:rsidRPr="00D81547">
              <w:rPr>
                <w:rFonts w:ascii="楷体_GB2312" w:eastAsia="楷体_GB2312" w:hAnsi="宋体" w:hint="eastAsia"/>
                <w:sz w:val="32"/>
                <w:szCs w:val="32"/>
              </w:rPr>
              <w:t xml:space="preserve">评   测   </w:t>
            </w:r>
            <w:r>
              <w:rPr>
                <w:rFonts w:ascii="楷体_GB2312" w:eastAsia="楷体_GB2312" w:hAnsi="宋体" w:hint="eastAsia"/>
                <w:sz w:val="32"/>
                <w:szCs w:val="32"/>
              </w:rPr>
              <w:t>指  标</w:t>
            </w:r>
          </w:p>
        </w:tc>
      </w:tr>
      <w:tr w:rsidR="007055BE" w:rsidTr="00134E69">
        <w:trPr>
          <w:cantSplit/>
        </w:trPr>
        <w:tc>
          <w:tcPr>
            <w:tcW w:w="1158" w:type="dxa"/>
            <w:vMerge w:val="restart"/>
            <w:tcBorders>
              <w:top w:val="single" w:sz="6" w:space="0" w:color="000000"/>
              <w:left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教</w:t>
            </w: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学</w:t>
            </w: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演</w:t>
            </w: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示</w:t>
            </w:r>
          </w:p>
          <w:p w:rsidR="007055BE" w:rsidRDefault="007055BE" w:rsidP="00134E69">
            <w:pPr>
              <w:jc w:val="center"/>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7055BE">
            <w:pPr>
              <w:numPr>
                <w:ilvl w:val="0"/>
                <w:numId w:val="1"/>
              </w:numPr>
              <w:spacing w:line="400" w:lineRule="exact"/>
              <w:rPr>
                <w:rFonts w:ascii="楷体_GB2312" w:eastAsia="楷体_GB2312" w:hAnsi="宋体"/>
                <w:b/>
                <w:bCs/>
                <w:sz w:val="24"/>
              </w:rPr>
            </w:pPr>
            <w:r w:rsidRPr="00AC65FA">
              <w:rPr>
                <w:rFonts w:ascii="楷体_GB2312" w:eastAsia="楷体_GB2312" w:hAnsi="宋体" w:hint="eastAsia"/>
                <w:b/>
                <w:bCs/>
                <w:sz w:val="24"/>
              </w:rPr>
              <w:t>教学内容</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教学内容科学性强，理论联系实际</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教学内容学术性强，渗透专业思想，教学内容能承前启后，循序渐进，重点突出，逻辑性强</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教学内容启发性强，符合学生认知规律，注重培养能力</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教学内容思想性强，引导学生树立专业意识、正确的世界观和价值观</w:t>
            </w:r>
          </w:p>
        </w:tc>
      </w:tr>
      <w:tr w:rsidR="007055BE" w:rsidTr="00134E69">
        <w:trPr>
          <w:cantSplit/>
        </w:trPr>
        <w:tc>
          <w:tcPr>
            <w:tcW w:w="1158"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rPr>
                <w:rFonts w:ascii="楷体_GB2312" w:eastAsia="楷体_GB2312" w:hAnsi="宋体"/>
                <w:b/>
                <w:bCs/>
                <w:sz w:val="24"/>
              </w:rPr>
            </w:pPr>
            <w:r w:rsidRPr="00AC65FA">
              <w:rPr>
                <w:rFonts w:ascii="楷体_GB2312" w:eastAsia="楷体_GB2312" w:hAnsi="宋体" w:hint="eastAsia"/>
                <w:b/>
                <w:bCs/>
                <w:sz w:val="24"/>
              </w:rPr>
              <w:t>2、教学</w:t>
            </w:r>
            <w:r>
              <w:rPr>
                <w:rFonts w:ascii="楷体_GB2312" w:eastAsia="楷体_GB2312" w:hAnsi="宋体" w:hint="eastAsia"/>
                <w:b/>
                <w:bCs/>
                <w:sz w:val="24"/>
              </w:rPr>
              <w:t>设计</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教学活动多样灵活，教与学活动有机结合，突出学生的主体性</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采用多种教学策略，能有效地调动学生的学习积极性</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熟练、恰当地运用多媒体教学手段，有效提高教学质量</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课堂提问能启发学生思考，与学生有效交流与沟通</w:t>
            </w:r>
          </w:p>
        </w:tc>
      </w:tr>
      <w:tr w:rsidR="007055BE" w:rsidTr="00134E69">
        <w:trPr>
          <w:cantSplit/>
        </w:trPr>
        <w:tc>
          <w:tcPr>
            <w:tcW w:w="1158"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rPr>
                <w:rFonts w:ascii="楷体_GB2312" w:eastAsia="楷体_GB2312" w:hAnsi="宋体"/>
                <w:b/>
                <w:bCs/>
                <w:sz w:val="24"/>
              </w:rPr>
            </w:pPr>
            <w:r w:rsidRPr="00AC65FA">
              <w:rPr>
                <w:rFonts w:ascii="楷体_GB2312" w:eastAsia="楷体_GB2312" w:hAnsi="宋体" w:hint="eastAsia"/>
                <w:b/>
                <w:bCs/>
                <w:sz w:val="24"/>
              </w:rPr>
              <w:t>3、教学语言与教态</w:t>
            </w:r>
          </w:p>
          <w:p w:rsidR="007055BE" w:rsidRPr="00AC65FA" w:rsidRDefault="007055BE" w:rsidP="007055BE">
            <w:pPr>
              <w:numPr>
                <w:ilvl w:val="0"/>
                <w:numId w:val="4"/>
              </w:numPr>
              <w:spacing w:line="400" w:lineRule="exact"/>
              <w:rPr>
                <w:rFonts w:ascii="楷体_GB2312" w:eastAsia="楷体_GB2312" w:hAnsi="宋体"/>
                <w:sz w:val="24"/>
              </w:rPr>
            </w:pPr>
            <w:r w:rsidRPr="00AC65FA">
              <w:rPr>
                <w:rFonts w:ascii="楷体_GB2312" w:eastAsia="楷体_GB2312" w:hAnsi="宋体" w:hint="eastAsia"/>
                <w:sz w:val="24"/>
              </w:rPr>
              <w:t>着装整洁得体，教态自然大方，亲和力强</w:t>
            </w:r>
          </w:p>
          <w:p w:rsidR="007055BE" w:rsidRPr="00AC65FA" w:rsidRDefault="007055BE" w:rsidP="007055BE">
            <w:pPr>
              <w:numPr>
                <w:ilvl w:val="0"/>
                <w:numId w:val="4"/>
              </w:numPr>
              <w:spacing w:line="400" w:lineRule="exact"/>
              <w:rPr>
                <w:rFonts w:ascii="楷体_GB2312" w:eastAsia="楷体_GB2312" w:hAnsi="宋体"/>
                <w:sz w:val="24"/>
              </w:rPr>
            </w:pPr>
            <w:r w:rsidRPr="00AC65FA">
              <w:rPr>
                <w:rFonts w:ascii="楷体_GB2312" w:eastAsia="楷体_GB2312" w:hAnsi="宋体" w:hint="eastAsia"/>
                <w:sz w:val="24"/>
              </w:rPr>
              <w:t>普通话讲课，语言清晰生动，表达能力强</w:t>
            </w:r>
          </w:p>
          <w:p w:rsidR="007055BE" w:rsidRPr="00AC65FA" w:rsidRDefault="007055BE" w:rsidP="007055BE">
            <w:pPr>
              <w:numPr>
                <w:ilvl w:val="0"/>
                <w:numId w:val="4"/>
              </w:numPr>
              <w:spacing w:line="400" w:lineRule="exact"/>
              <w:rPr>
                <w:rFonts w:ascii="楷体_GB2312" w:eastAsia="楷体_GB2312" w:hAnsi="宋体"/>
                <w:sz w:val="24"/>
              </w:rPr>
            </w:pPr>
            <w:r w:rsidRPr="00AC65FA">
              <w:rPr>
                <w:rFonts w:ascii="楷体_GB2312" w:eastAsia="楷体_GB2312" w:hAnsi="宋体" w:hint="eastAsia"/>
                <w:sz w:val="24"/>
              </w:rPr>
              <w:t>态度积极、向上，具有较强的感染力</w:t>
            </w:r>
          </w:p>
        </w:tc>
      </w:tr>
      <w:tr w:rsidR="007055BE" w:rsidTr="00134E69">
        <w:trPr>
          <w:cantSplit/>
        </w:trPr>
        <w:tc>
          <w:tcPr>
            <w:tcW w:w="1158" w:type="dxa"/>
            <w:vMerge/>
            <w:tcBorders>
              <w:left w:val="single" w:sz="6" w:space="0" w:color="000000"/>
              <w:bottom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rPr>
                <w:rFonts w:ascii="楷体_GB2312" w:eastAsia="楷体_GB2312" w:hAnsi="宋体"/>
                <w:b/>
                <w:bCs/>
                <w:sz w:val="24"/>
              </w:rPr>
            </w:pPr>
            <w:r w:rsidRPr="00AC65FA">
              <w:rPr>
                <w:rFonts w:ascii="楷体_GB2312" w:eastAsia="楷体_GB2312" w:hAnsi="宋体" w:hint="eastAsia"/>
                <w:b/>
                <w:bCs/>
                <w:sz w:val="24"/>
              </w:rPr>
              <w:t>4、板书</w:t>
            </w:r>
          </w:p>
          <w:p w:rsidR="007055BE" w:rsidRPr="00AC65FA" w:rsidRDefault="007055BE" w:rsidP="007055BE">
            <w:pPr>
              <w:numPr>
                <w:ilvl w:val="0"/>
                <w:numId w:val="5"/>
              </w:numPr>
              <w:spacing w:line="400" w:lineRule="exact"/>
              <w:rPr>
                <w:rFonts w:ascii="楷体_GB2312" w:eastAsia="楷体_GB2312" w:hAnsi="宋体"/>
                <w:sz w:val="24"/>
              </w:rPr>
            </w:pPr>
            <w:r w:rsidRPr="00AC65FA">
              <w:rPr>
                <w:rFonts w:ascii="楷体_GB2312" w:eastAsia="楷体_GB2312" w:hAnsi="宋体" w:hint="eastAsia"/>
                <w:sz w:val="24"/>
              </w:rPr>
              <w:t>板书设计合理</w:t>
            </w:r>
          </w:p>
          <w:p w:rsidR="007055BE" w:rsidRPr="00AC65FA" w:rsidRDefault="007055BE" w:rsidP="007055BE">
            <w:pPr>
              <w:numPr>
                <w:ilvl w:val="0"/>
                <w:numId w:val="5"/>
              </w:numPr>
              <w:spacing w:line="400" w:lineRule="exact"/>
              <w:rPr>
                <w:rFonts w:ascii="楷体_GB2312" w:eastAsia="楷体_GB2312" w:hAnsi="宋体"/>
                <w:sz w:val="24"/>
              </w:rPr>
            </w:pPr>
            <w:r w:rsidRPr="00AC65FA">
              <w:rPr>
                <w:rFonts w:ascii="楷体_GB2312" w:eastAsia="楷体_GB2312" w:hAnsi="宋体" w:hint="eastAsia"/>
                <w:color w:val="000000"/>
                <w:sz w:val="24"/>
              </w:rPr>
              <w:t>文字规范、图表清晰，美观</w:t>
            </w:r>
          </w:p>
        </w:tc>
      </w:tr>
      <w:tr w:rsidR="007055BE" w:rsidRPr="00543C00" w:rsidTr="00134E69">
        <w:trPr>
          <w:cantSplit/>
        </w:trPr>
        <w:tc>
          <w:tcPr>
            <w:tcW w:w="1158"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Default="007055BE" w:rsidP="00134E69">
            <w:pPr>
              <w:rPr>
                <w:rFonts w:ascii="楷体_GB2312" w:eastAsia="楷体_GB2312" w:hAnsi="宋体"/>
                <w:szCs w:val="21"/>
              </w:rPr>
            </w:pP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总体</w:t>
            </w:r>
          </w:p>
          <w:p w:rsidR="007055BE" w:rsidRDefault="007055BE" w:rsidP="00134E69">
            <w:pPr>
              <w:jc w:val="center"/>
              <w:rPr>
                <w:rFonts w:ascii="楷体_GB2312" w:eastAsia="楷体_GB2312" w:hAnsi="宋体"/>
                <w:szCs w:val="21"/>
              </w:rPr>
            </w:pPr>
            <w:r w:rsidRPr="00D81547">
              <w:rPr>
                <w:rFonts w:ascii="楷体_GB2312" w:eastAsia="楷体_GB2312" w:hAnsi="宋体" w:hint="eastAsia"/>
                <w:sz w:val="32"/>
                <w:szCs w:val="32"/>
              </w:rPr>
              <w:t>印象</w:t>
            </w: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ind w:left="-5"/>
              <w:rPr>
                <w:rFonts w:ascii="楷体_GB2312" w:eastAsia="楷体_GB2312" w:hAnsi="宋体"/>
                <w:sz w:val="24"/>
              </w:rPr>
            </w:pPr>
          </w:p>
          <w:p w:rsidR="007055BE" w:rsidRPr="00AC65FA" w:rsidRDefault="007055BE" w:rsidP="007055BE">
            <w:pPr>
              <w:numPr>
                <w:ilvl w:val="0"/>
                <w:numId w:val="6"/>
              </w:numPr>
              <w:tabs>
                <w:tab w:val="num" w:pos="355"/>
              </w:tabs>
              <w:spacing w:line="400" w:lineRule="exact"/>
              <w:ind w:hanging="2630"/>
              <w:rPr>
                <w:rFonts w:ascii="楷体_GB2312" w:eastAsia="楷体_GB2312" w:hAnsi="宋体"/>
                <w:sz w:val="24"/>
              </w:rPr>
            </w:pPr>
            <w:r w:rsidRPr="00AC65FA">
              <w:rPr>
                <w:rFonts w:ascii="楷体_GB2312" w:eastAsia="楷体_GB2312" w:hAnsi="宋体" w:hint="eastAsia"/>
                <w:sz w:val="24"/>
              </w:rPr>
              <w:t>教学理念先进，注重学生的全面发展</w:t>
            </w:r>
          </w:p>
          <w:p w:rsidR="007055BE" w:rsidRPr="00AC65FA" w:rsidRDefault="007055BE" w:rsidP="007055BE">
            <w:pPr>
              <w:numPr>
                <w:ilvl w:val="0"/>
                <w:numId w:val="6"/>
              </w:numPr>
              <w:tabs>
                <w:tab w:val="num" w:pos="355"/>
              </w:tabs>
              <w:spacing w:line="400" w:lineRule="exact"/>
              <w:ind w:hanging="2630"/>
              <w:rPr>
                <w:rFonts w:ascii="楷体_GB2312" w:eastAsia="楷体_GB2312" w:hAnsi="宋体"/>
                <w:sz w:val="24"/>
              </w:rPr>
            </w:pPr>
            <w:r w:rsidRPr="00AC65FA">
              <w:rPr>
                <w:rFonts w:ascii="楷体_GB2312" w:eastAsia="楷体_GB2312" w:hAnsi="宋体" w:hint="eastAsia"/>
                <w:sz w:val="24"/>
              </w:rPr>
              <w:t>教学风格突出，感染力强</w:t>
            </w:r>
          </w:p>
          <w:p w:rsidR="007055BE" w:rsidRPr="00AC65FA" w:rsidRDefault="007055BE" w:rsidP="007055BE">
            <w:pPr>
              <w:numPr>
                <w:ilvl w:val="0"/>
                <w:numId w:val="6"/>
              </w:numPr>
              <w:tabs>
                <w:tab w:val="num" w:pos="355"/>
              </w:tabs>
              <w:spacing w:line="400" w:lineRule="exact"/>
              <w:ind w:hanging="2630"/>
              <w:jc w:val="left"/>
              <w:rPr>
                <w:rFonts w:ascii="楷体_GB2312" w:eastAsia="楷体_GB2312" w:hAnsi="宋体"/>
                <w:sz w:val="24"/>
              </w:rPr>
            </w:pPr>
            <w:r w:rsidRPr="00AC65FA">
              <w:rPr>
                <w:rFonts w:ascii="楷体_GB2312" w:eastAsia="楷体_GB2312" w:hAnsi="宋体" w:hint="eastAsia"/>
                <w:sz w:val="24"/>
              </w:rPr>
              <w:t>热爱教师岗位，尊重学生，注重教书育人，学生评估良好</w:t>
            </w:r>
          </w:p>
          <w:p w:rsidR="007055BE" w:rsidRPr="00AC65FA" w:rsidRDefault="007055BE" w:rsidP="00134E69">
            <w:pPr>
              <w:spacing w:line="400" w:lineRule="exact"/>
              <w:rPr>
                <w:rFonts w:ascii="楷体_GB2312" w:eastAsia="楷体_GB2312" w:hAnsi="宋体"/>
                <w:sz w:val="24"/>
              </w:rPr>
            </w:pPr>
          </w:p>
        </w:tc>
      </w:tr>
    </w:tbl>
    <w:p w:rsidR="007055BE" w:rsidRDefault="007055BE" w:rsidP="007055BE"/>
    <w:p w:rsidR="00736468" w:rsidRPr="007055BE" w:rsidRDefault="00736468"/>
    <w:sectPr w:rsidR="00736468" w:rsidRPr="00705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89" w:rsidRDefault="00D97289" w:rsidP="00310009">
      <w:r>
        <w:separator/>
      </w:r>
    </w:p>
  </w:endnote>
  <w:endnote w:type="continuationSeparator" w:id="0">
    <w:p w:rsidR="00D97289" w:rsidRDefault="00D97289" w:rsidP="0031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89" w:rsidRDefault="00D97289" w:rsidP="00310009">
      <w:r>
        <w:separator/>
      </w:r>
    </w:p>
  </w:footnote>
  <w:footnote w:type="continuationSeparator" w:id="0">
    <w:p w:rsidR="00D97289" w:rsidRDefault="00D97289" w:rsidP="0031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26EC"/>
    <w:multiLevelType w:val="hybridMultilevel"/>
    <w:tmpl w:val="D8F82832"/>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C95A8F"/>
    <w:multiLevelType w:val="hybridMultilevel"/>
    <w:tmpl w:val="634E46D2"/>
    <w:lvl w:ilvl="0" w:tplc="7EE249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C41AB3"/>
    <w:multiLevelType w:val="hybridMultilevel"/>
    <w:tmpl w:val="0CF6AF9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580908"/>
    <w:multiLevelType w:val="hybridMultilevel"/>
    <w:tmpl w:val="40148E78"/>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1E1319"/>
    <w:multiLevelType w:val="hybridMultilevel"/>
    <w:tmpl w:val="D242BD3E"/>
    <w:lvl w:ilvl="0" w:tplc="3D205204">
      <w:start w:val="1"/>
      <w:numFmt w:val="decimal"/>
      <w:lvlText w:val="%1."/>
      <w:lvlJc w:val="left"/>
      <w:pPr>
        <w:tabs>
          <w:tab w:val="num" w:pos="2625"/>
        </w:tabs>
        <w:ind w:left="262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3D047D3"/>
    <w:multiLevelType w:val="hybridMultilevel"/>
    <w:tmpl w:val="6A4AF1B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63"/>
    <w:rsid w:val="00287355"/>
    <w:rsid w:val="00310009"/>
    <w:rsid w:val="007055BE"/>
    <w:rsid w:val="00723163"/>
    <w:rsid w:val="00736468"/>
    <w:rsid w:val="00D06A98"/>
    <w:rsid w:val="00D97289"/>
    <w:rsid w:val="00F0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D0640-EC03-41DA-BE80-09FC1148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009"/>
    <w:rPr>
      <w:sz w:val="18"/>
      <w:szCs w:val="18"/>
    </w:rPr>
  </w:style>
  <w:style w:type="paragraph" w:styleId="a4">
    <w:name w:val="footer"/>
    <w:basedOn w:val="a"/>
    <w:link w:val="Char0"/>
    <w:uiPriority w:val="99"/>
    <w:unhideWhenUsed/>
    <w:rsid w:val="0031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0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2018-05-17T03:09:00Z</dcterms:created>
  <dc:creator>赵晓琳</dc:creator>
  <cp:lastModifiedBy>赵晓琳</cp:lastModifiedBy>
  <dcterms:modified xsi:type="dcterms:W3CDTF">2018-05-31T07:36:00Z</dcterms:modified>
  <cp:revision>6</cp:revision>
</cp:coreProperties>
</file>